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June 10, 2026</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XERIS BIOPHARMA HOLDINGS, INC.</w:t>
      </w:r>
    </w:p>
    <w:p>
      <w:pPr>
        <w:spacing w:after="0" w:line="28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60" w:type="dxa"/>
            <w:vAlign w:val="bottom"/>
          </w:tcPr>
          <w:p>
            <w:pPr>
              <w:spacing w:after="0"/>
              <w:rPr>
                <w:sz w:val="20"/>
                <w:szCs w:val="20"/>
                <w:color w:val="auto"/>
              </w:rPr>
            </w:pPr>
          </w:p>
        </w:tc>
      </w:tr>
      <w:tr>
        <w:trPr>
          <w:trHeight w:val="256"/>
        </w:trPr>
        <w:tc>
          <w:tcPr>
            <w:tcW w:w="2280" w:type="dxa"/>
            <w:vAlign w:val="bottom"/>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001-40880</w:t>
            </w:r>
          </w:p>
        </w:tc>
        <w:tc>
          <w:tcPr>
            <w:tcW w:w="1760" w:type="dxa"/>
            <w:vAlign w:val="bottom"/>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87-1082097</w:t>
            </w:r>
          </w:p>
        </w:tc>
      </w:tr>
      <w:tr>
        <w:trPr>
          <w:trHeight w:val="162"/>
        </w:trPr>
        <w:tc>
          <w:tcPr>
            <w:tcW w:w="2280" w:type="dxa"/>
            <w:vAlign w:val="bottom"/>
          </w:tcPr>
          <w:p>
            <w:pPr>
              <w:jc w:val="center"/>
              <w:ind w:right="316"/>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920" w:type="dxa"/>
            <w:vAlign w:val="bottom"/>
          </w:tcPr>
          <w:p>
            <w:pPr>
              <w:jc w:val="center"/>
              <w:ind w:right="114"/>
              <w:spacing w:after="0" w:line="162" w:lineRule="exact"/>
              <w:rPr>
                <w:sz w:val="20"/>
                <w:szCs w:val="20"/>
                <w:color w:val="auto"/>
              </w:rPr>
            </w:pPr>
            <w:r>
              <w:rPr>
                <w:rFonts w:ascii="Times New Roman" w:cs="Times New Roman" w:eastAsia="Times New Roman" w:hAnsi="Times New Roman"/>
                <w:sz w:val="16"/>
                <w:szCs w:val="16"/>
                <w:color w:val="auto"/>
              </w:rPr>
              <w:t>(Commission</w:t>
            </w:r>
          </w:p>
        </w:tc>
        <w:tc>
          <w:tcPr>
            <w:tcW w:w="1760" w:type="dxa"/>
            <w:vAlign w:val="bottom"/>
          </w:tcPr>
          <w:p>
            <w:pPr>
              <w:jc w:val="center"/>
              <w:ind w:left="47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28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auto"/>
              </w:rPr>
              <w:t>incorporation)</w:t>
            </w:r>
          </w:p>
        </w:tc>
        <w:tc>
          <w:tcPr>
            <w:tcW w:w="49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File Number)</w:t>
            </w:r>
          </w:p>
        </w:tc>
        <w:tc>
          <w:tcPr>
            <w:tcW w:w="1760" w:type="dxa"/>
            <w:vAlign w:val="bottom"/>
          </w:tcPr>
          <w:p>
            <w:pPr>
              <w:jc w:val="center"/>
              <w:ind w:left="47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37"/>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1375 West Fulton Street, Suite 1300</w:t>
            </w:r>
          </w:p>
        </w:tc>
        <w:tc>
          <w:tcPr>
            <w:tcW w:w="1760" w:type="dxa"/>
            <w:vAlign w:val="bottom"/>
          </w:tcPr>
          <w:p>
            <w:pPr>
              <w:spacing w:after="0"/>
              <w:rPr>
                <w:sz w:val="24"/>
                <w:szCs w:val="24"/>
                <w:color w:val="auto"/>
              </w:rPr>
            </w:pPr>
          </w:p>
        </w:tc>
      </w:tr>
      <w:tr>
        <w:trPr>
          <w:trHeight w:val="224"/>
        </w:trPr>
        <w:tc>
          <w:tcPr>
            <w:tcW w:w="2280" w:type="dxa"/>
            <w:vAlign w:val="bottom"/>
          </w:tcPr>
          <w:p>
            <w:pPr>
              <w:spacing w:after="0"/>
              <w:rPr>
                <w:sz w:val="19"/>
                <w:szCs w:val="19"/>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Chicago, Illinois 60607</w:t>
            </w:r>
          </w:p>
        </w:tc>
        <w:tc>
          <w:tcPr>
            <w:tcW w:w="1760" w:type="dxa"/>
            <w:vAlign w:val="bottom"/>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c>
          <w:tcPr>
            <w:tcW w:w="1760" w:type="dxa"/>
            <w:vAlign w:val="bottom"/>
          </w:tcPr>
          <w:p>
            <w:pPr>
              <w:spacing w:after="0"/>
              <w:rPr>
                <w:sz w:val="18"/>
                <w:szCs w:val="18"/>
                <w:color w:val="auto"/>
              </w:rPr>
            </w:pPr>
          </w:p>
        </w:tc>
      </w:tr>
      <w:tr>
        <w:trPr>
          <w:trHeight w:val="438"/>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(844) 445-5704</w:t>
            </w:r>
          </w:p>
        </w:tc>
        <w:tc>
          <w:tcPr>
            <w:tcW w:w="176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60" w:type="dxa"/>
            <w:vAlign w:val="bottom"/>
          </w:tcPr>
          <w:p>
            <w:pPr>
              <w:spacing w:after="0"/>
              <w:rPr>
                <w:sz w:val="18"/>
                <w:szCs w:val="18"/>
                <w:color w:val="auto"/>
              </w:rPr>
            </w:pPr>
          </w:p>
        </w:tc>
      </w:tr>
      <w:tr>
        <w:trPr>
          <w:trHeight w:val="451"/>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60" w:type="dxa"/>
            <w:vAlign w:val="bottom"/>
          </w:tcPr>
          <w:p>
            <w:pPr>
              <w:spacing w:after="0"/>
              <w:rPr>
                <w:sz w:val="18"/>
                <w:szCs w:val="18"/>
                <w:color w:val="auto"/>
              </w:rPr>
            </w:pPr>
          </w:p>
        </w:tc>
      </w:tr>
    </w:tbl>
    <w:p>
      <w:pPr>
        <w:spacing w:after="0" w:line="10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700" w:hanging="627"/>
        <w:spacing w:after="0"/>
        <w:tabs>
          <w:tab w:leader="none" w:pos="70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31" w:lineRule="exact"/>
        <w:rPr>
          <w:rFonts w:ascii="MS PGothic" w:cs="MS PGothic" w:eastAsia="MS PGothic" w:hAnsi="MS PGothic"/>
          <w:sz w:val="32"/>
          <w:szCs w:val="32"/>
          <w:color w:val="auto"/>
          <w:vertAlign w:val="superscript"/>
        </w:rPr>
      </w:pPr>
    </w:p>
    <w:p>
      <w:pPr>
        <w:ind w:left="700" w:hanging="627"/>
        <w:spacing w:after="0" w:line="184" w:lineRule="auto"/>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2" w:lineRule="exact"/>
        <w:rPr>
          <w:rFonts w:ascii="MS PGothic" w:cs="MS PGothic" w:eastAsia="MS PGothic" w:hAnsi="MS PGothic"/>
          <w:sz w:val="25"/>
          <w:szCs w:val="25"/>
          <w:color w:val="auto"/>
          <w:vertAlign w:val="superscript"/>
        </w:rPr>
      </w:pPr>
    </w:p>
    <w:p>
      <w:pPr>
        <w:ind w:left="700" w:hanging="627"/>
        <w:spacing w:after="0" w:line="184" w:lineRule="auto"/>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2" w:lineRule="exact"/>
        <w:rPr>
          <w:rFonts w:ascii="MS PGothic" w:cs="MS PGothic" w:eastAsia="MS PGothic" w:hAnsi="MS PGothic"/>
          <w:sz w:val="25"/>
          <w:szCs w:val="25"/>
          <w:color w:val="auto"/>
          <w:vertAlign w:val="superscript"/>
        </w:rPr>
      </w:pPr>
    </w:p>
    <w:p>
      <w:pPr>
        <w:ind w:left="80" w:right="3300" w:hanging="7"/>
        <w:spacing w:after="0" w:line="274" w:lineRule="auto"/>
        <w:tabs>
          <w:tab w:leader="none" w:pos="701"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94"/>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XERS</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43" w:lineRule="exact"/>
        <w:rPr>
          <w:sz w:val="24"/>
          <w:szCs w:val="24"/>
          <w:color w:val="auto"/>
        </w:rPr>
      </w:pPr>
    </w:p>
    <w:p>
      <w:pPr>
        <w:ind w:left="80" w:right="8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0" w:lineRule="exact"/>
        <w:rPr>
          <w:sz w:val="24"/>
          <w:szCs w:val="24"/>
          <w:color w:val="auto"/>
        </w:rPr>
      </w:pPr>
    </w:p>
    <w:p>
      <w:pPr>
        <w:spacing w:after="0" w:line="2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June 10, 2026, Xeris Biopharma Holdings, Inc. (the “Company”) entered into privately negotiated exchange agreements (the “Exchange Agreements”) with certain holders (the “Noteholders”) of its 8.00% Convertible Senior Notes due 2028 (the “2028 Notes”), pursuant to which the Noteholders have agreed to exchange (the “Exchange”) approximately $23 million in aggregate principal amount of the outstanding 2028 Notes for a combination of cash and shares of the Company’s common stock (the “Exchange Consideration”). The cash portion of the Exchange Consideration will represent the principal amount of the 2028 Notes being exchanged and the share portion of the Exchange Consideration will be determined based upon the volume-weighted average price per share of the Company’s common stock during a 21 trading day averaging period commencing on June 11, 2026. The Company intends to fund the cash portion of the Exchange Consideration with liquidity on-hand. The closing of the Exchange is expected to occur on or about July 15, 2026, subject to customary closing conditions.</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the Company’s common stock to be issued in the Exchange will not be registered under the Securities Act of 1933, as amended (the “Securities Act”), and will be issued in a private placement in reliance on the exemption from registration provided by Section 4(a)(2) of the Securities Act. The Company is relying, in part, upon representations from each Noteholder that, among other things, (i) it is an institutional “accredited investor” as defined in Rule 501(a)(1), (2), (3) or (7) of Regulation D under the Securities Act and (ii) it and any account for which it is acting is a “qualified institutional buyer” as defined in Rule 144A under the Securities Act.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2028 Notes to be exchanged represent approximately 69% of the outstanding principal amount thereof. Following the Exchange, $10.5 million in aggregate principal amount of the 2028 Notes will remain outstanding.</w:t>
      </w:r>
    </w:p>
    <w:p>
      <w:pPr>
        <w:spacing w:after="0" w:line="189" w:lineRule="exact"/>
        <w:rPr>
          <w:sz w:val="20"/>
          <w:szCs w:val="20"/>
          <w:color w:val="auto"/>
        </w:rPr>
      </w:pPr>
    </w:p>
    <w:p>
      <w:pPr>
        <w:ind w:right="20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shares of common stock or any other securities, and shall not constitute an offer, solicitation or sale in any jurisdiction in which such an offer, solicitation or sale would be unlawful.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2026, the Company issued a press release announcing entry into the Exchange Agreements. A copy of the press release is attached hereto as Exhibit 99.1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Note Regarding Forward-Looking Statements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in this Current Report on Form 8-K relating to, among other things, the Exchange Agreements and the transactions contemplated thereby constitute forward-looking statements under The Private Securities Litigation Reform Act of 1995. These statements include, but are not limited to, the Exchange Consideration and the expected timing of the Exchange. These forward-looking statements are based on numerous assumptions and assessments made in light of the Company’s experience and other factors it believes appropriate. By their nature, forward-looking statements involve known and unknown</w:t>
      </w:r>
    </w:p>
    <w:p>
      <w:pPr>
        <w:spacing w:after="0" w:line="2" w:lineRule="exact"/>
        <w:rPr>
          <w:sz w:val="20"/>
          <w:szCs w:val="20"/>
          <w:color w:val="auto"/>
        </w:rPr>
      </w:pPr>
    </w:p>
    <w:p>
      <w:pPr>
        <w:ind w:right="2000"/>
        <w:spacing w:after="0" w:line="255" w:lineRule="auto"/>
        <w:rPr>
          <w:sz w:val="20"/>
          <w:szCs w:val="20"/>
          <w:color w:val="auto"/>
        </w:rPr>
      </w:pPr>
      <w:r>
        <w:rPr>
          <w:rFonts w:ascii="Times New Roman" w:cs="Times New Roman" w:eastAsia="Times New Roman" w:hAnsi="Times New Roman"/>
          <w:sz w:val="18"/>
          <w:szCs w:val="18"/>
          <w:color w:val="auto"/>
        </w:rPr>
        <w:t>risks and uncertainties because they relate to events and depend on circumstances that will occur in the future. No assurance can be given that such expectations will be realized and persons reading this communication are, therefore, cautioned not to place undue reliance on these forward-looking statements.</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Forward-looking statements in this Current Report on Form 8-K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w:t>
      </w:r>
    </w:p>
    <w:p>
      <w:pPr>
        <w:spacing w:after="0" w:line="1" w:lineRule="exact"/>
        <w:rPr>
          <w:sz w:val="20"/>
          <w:szCs w:val="20"/>
          <w:color w:val="auto"/>
        </w:rPr>
      </w:pPr>
    </w:p>
    <w:p>
      <w:pPr>
        <w:ind w:right="2600"/>
        <w:spacing w:after="0" w:line="260" w:lineRule="auto"/>
        <w:rPr>
          <w:sz w:val="20"/>
          <w:szCs w:val="20"/>
          <w:color w:val="auto"/>
        </w:rPr>
      </w:pPr>
      <w:r>
        <w:rPr>
          <w:rFonts w:ascii="Times New Roman" w:cs="Times New Roman" w:eastAsia="Times New Roman" w:hAnsi="Times New Roman"/>
          <w:sz w:val="18"/>
          <w:szCs w:val="18"/>
          <w:color w:val="auto"/>
        </w:rPr>
        <w:t>forward-looking statement whether as a result of new information, future developments or otherwise, or to conform any forward-looking statement to actual results, future events, or to changes in expectations.</w:t>
      </w:r>
    </w:p>
    <w:p>
      <w:pPr>
        <w:spacing w:after="0" w:line="1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324"/>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11, 2026, issued by the Company</w:t>
            </w:r>
          </w:p>
        </w:tc>
        <w:tc>
          <w:tcPr>
            <w:tcW w:w="5160" w:type="dxa"/>
            <w:vAlign w:val="bottom"/>
          </w:tcPr>
          <w:p>
            <w:pPr>
              <w:spacing w:after="0"/>
              <w:rPr>
                <w:sz w:val="18"/>
                <w:szCs w:val="18"/>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7"/>
        </w:trPr>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20"/>
        <w:spacing w:after="0"/>
        <w:tabs>
          <w:tab w:leader="none" w:pos="642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7"/>
          <w:szCs w:val="17"/>
          <w:b w:val="1"/>
          <w:bCs w:val="1"/>
          <w:color w:val="auto"/>
        </w:rPr>
        <w:t>Xeris Biopharma Holdings, Inc.</w:t>
      </w:r>
    </w:p>
    <w:p>
      <w:pPr>
        <w:spacing w:after="0" w:line="175"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Pieper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17145</wp:posOffset>
            </wp:positionV>
            <wp:extent cx="229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Steven M. Pieper</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260"/>
          </w:cols>
          <w:pgMar w:left="980" w:top="88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57734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XERIS BIOPHARMA ANNOUNCES PRIVATE EXCHANGE OF CONVERTIBLE NOTES</w:t>
      </w:r>
    </w:p>
    <w:p>
      <w:pPr>
        <w:spacing w:after="0" w:line="214" w:lineRule="exact"/>
        <w:rPr>
          <w:sz w:val="20"/>
          <w:szCs w:val="20"/>
          <w:color w:val="auto"/>
        </w:rPr>
      </w:pPr>
    </w:p>
    <w:p>
      <w:pPr>
        <w:jc w:val="center"/>
        <w:spacing w:after="0" w:line="316" w:lineRule="auto"/>
        <w:rPr>
          <w:sz w:val="20"/>
          <w:szCs w:val="20"/>
          <w:color w:val="auto"/>
        </w:rPr>
      </w:pPr>
      <w:r>
        <w:rPr>
          <w:rFonts w:ascii="Arial" w:cs="Arial" w:eastAsia="Arial" w:hAnsi="Arial"/>
          <w:sz w:val="18"/>
          <w:szCs w:val="18"/>
          <w:i w:val="1"/>
          <w:iCs w:val="1"/>
          <w:color w:val="auto"/>
        </w:rPr>
        <w:t>Eliminates approximately $23 million of debt, resulting in approximately $2 million in annual interest savings Principal to be paid in cash, remainder in common stock</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CHICAGO, IL; June 11, 2026 </w:t>
      </w:r>
      <w:r>
        <w:rPr>
          <w:rFonts w:ascii="Arial" w:cs="Arial" w:eastAsia="Arial" w:hAnsi="Arial"/>
          <w:sz w:val="18"/>
          <w:szCs w:val="18"/>
          <w:color w:val="auto"/>
        </w:rPr>
        <w:t>– Xeris Biopharma Holdings, Inc. (Nasdaq: XERS), a fast-growing biopharmaceutical company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patient lives by developing and commercializing innovative products across a range of therapies, today announced that it has entered into separate, privately negotiated exchange agreements with certain holders of its 8.00% Convertible Senior Notes due 2028 (the “Notes”). Pursuant to the exchange agreements, Xeris has agreed, subject to customary closing conditions, to retire approximately $23 million aggregate principal amount of the Notes for exchange consideration consisting of approximately $23 million in cash and a number of shares of its common stock that will be determined based upon the volume-weighted average price per share of Xeris’ common stock over a 21 trading day averaging period commencing on June 11, 2026. Assuming the per share volume-weighted average price of Xeris’ common stock during each day of the averaging period is $6.71 (the closing price of Xeris’ common stock on June 10, 2026), Xeris expects to issue an aggregate of approximately 4.6 million shares of common stock upon consummation of the exchanges. Following the closing of the exchanges, Xeris will have $10.5 million in aggregate principal amount of the Notes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acted as placement agent to the Company in connection with the exchanges.</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exchanges are being conducted pursuant to the exemption from registration provided by Section 4(a)(2) under the Securities Act of 1933, as amended (the “Securities Act”). The shares of Xeris’ common stock to be issued in connection with the exchanges have not been registered under the Securities Act or any state securities laws and may not be offered or sold in the United States absent registration or an applicable exemption from such registration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Xeris</w:t>
      </w:r>
    </w:p>
    <w:p>
      <w:pPr>
        <w:spacing w:after="0" w:line="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Xeris (Nasdaq: XERS) is a fast-growing biopharmaceutical company committed to improving patient lives by developing and commercializing innovative products across a range of therapies. Xeris has three commercially available products: Recorlev</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endogenous Cushing’s syndrome; Gvoke</w:t>
      </w:r>
      <w:r>
        <w:rPr>
          <w:rFonts w:ascii="Arial" w:cs="Arial" w:eastAsia="Arial" w:hAnsi="Arial"/>
          <w:sz w:val="23"/>
          <w:szCs w:val="23"/>
          <w:color w:val="auto"/>
          <w:vertAlign w:val="superscript"/>
        </w:rPr>
        <w:t>®</w:t>
      </w:r>
      <w:r>
        <w:rPr>
          <w:rFonts w:ascii="Arial" w:cs="Arial" w:eastAsia="Arial" w:hAnsi="Arial"/>
          <w:sz w:val="18"/>
          <w:szCs w:val="18"/>
          <w:color w:val="auto"/>
        </w:rPr>
        <w:t>, a ready-to-use liquid glucagon for the treatment of severe hypoglycemia; and Keveyis</w:t>
      </w:r>
      <w:r>
        <w:rPr>
          <w:rFonts w:ascii="Arial" w:cs="Arial" w:eastAsia="Arial" w:hAnsi="Arial"/>
          <w:sz w:val="23"/>
          <w:szCs w:val="23"/>
          <w:color w:val="auto"/>
          <w:vertAlign w:val="superscript"/>
        </w:rPr>
        <w:t>®</w:t>
      </w:r>
      <w:r>
        <w:rPr>
          <w:rFonts w:ascii="Arial" w:cs="Arial" w:eastAsia="Arial" w:hAnsi="Arial"/>
          <w:sz w:val="18"/>
          <w:szCs w:val="18"/>
          <w:color w:val="auto"/>
        </w:rPr>
        <w:t>, a proven therapy for primary periodic paralysis. Xeris also has a pipeline of development programs led by XP-8121, a Phase 3-ready, once-weekly subcutaneous injection for hypothyroidism, as well as multiple early-stage programs leveraging Xeris’ technology platforms, XeriSol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XeriJect</w:t>
      </w:r>
      <w:r>
        <w:rPr>
          <w:rFonts w:ascii="Arial" w:cs="Arial" w:eastAsia="Arial" w:hAnsi="Arial"/>
          <w:sz w:val="23"/>
          <w:szCs w:val="23"/>
          <w:color w:val="auto"/>
          <w:vertAlign w:val="superscript"/>
        </w:rPr>
        <w:t>®</w:t>
      </w:r>
      <w:r>
        <w:rPr>
          <w:rFonts w:ascii="Arial" w:cs="Arial" w:eastAsia="Arial" w:hAnsi="Arial"/>
          <w:sz w:val="18"/>
          <w:szCs w:val="18"/>
          <w:color w:val="auto"/>
        </w:rPr>
        <w:t>, for its partners.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Xeris Biopharma Holdings is headquartered in Chicago, IL.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Any statements in this press release other than statements of historical fact are forward-looking statements. Forward-looking statements include, but are not limited to, statements about future expectations, plans, opportunities, and prospects for the Company, including statements, among other things, regarding the exchange agreements, the transactions contemplated thereunder, and the exchange consideration, including the number of shares of Xeris common stock that may be issued upon consummation of the exchanges with certain holders of its 8.00% Convertible Senior Notes due 2028. Because such statements are subject to risks and uncertainties, they constitute forward-looking statements within the meaning of The Private Securities Litigation Reform Act of 1995. These forward-looking statements are based on numerous assumptions and assessments made in light of the Company’s experience and other factors it believes appropriate. By their nature, forward-looking statements involve known and unknown risks and uncertainties because they relate to events and depend on circumstances that will occur in the future. No assurance can be given that such expectations will be realized and persons reading this</w:t>
      </w:r>
    </w:p>
    <w:p>
      <w:pPr>
        <w:sectPr>
          <w:pgSz w:w="11900" w:h="16838" w:orient="portrait"/>
          <w:cols w:equalWidth="0" w:num="1">
            <w:col w:w="11240"/>
          </w:cols>
          <w:pgMar w:left="320" w:top="55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2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communication are, therefore, cautioned not to place undue reliance on these forward-looking statements. Additional risks and information about potential impacts of financial, operational, economic, competitive, regulatory, governmental, technological, and other factors that may affect the Company can be found in the Company’s filings, including its most recently filed Annual Report on Form 10-K and subsequent filings with the U.S. Securities and Exchange Commission (“SEC”), the contents of which are not incorporated by reference into, nor do they form part of, this communication. The risks described herein and in the Company’s SEC filings are not the only risks the Company faces. Additional risks and uncertainties not currently known to it or that it currently deems immaterial may also impact its business operations or financial results. Forward-looking statements in this report are based on information available to management, as of the date of this communication and, while the Company believes its assumptions are reasonable, actual results may differ materially. Subject to any obligations under applicable law, the Company does not undertake any obligation to update any forward-looking statement whether as a result of new information, future developments or otherwise, or to conform any forward-looking statement to actual results, future events, or to changes in expectations.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Allison Wey</w:t>
      </w:r>
    </w:p>
    <w:p>
      <w:pPr>
        <w:spacing w:after="0" w:line="28" w:lineRule="exact"/>
        <w:rPr>
          <w:sz w:val="20"/>
          <w:szCs w:val="20"/>
          <w:color w:val="auto"/>
        </w:rPr>
      </w:pPr>
    </w:p>
    <w:p>
      <w:pPr>
        <w:ind w:right="5380"/>
        <w:spacing w:after="0" w:line="307" w:lineRule="auto"/>
        <w:rPr>
          <w:sz w:val="20"/>
          <w:szCs w:val="20"/>
          <w:color w:val="auto"/>
        </w:rPr>
      </w:pPr>
      <w:r>
        <w:rPr>
          <w:rFonts w:ascii="Arial" w:cs="Arial" w:eastAsia="Arial" w:hAnsi="Arial"/>
          <w:sz w:val="18"/>
          <w:szCs w:val="18"/>
          <w:color w:val="auto"/>
        </w:rPr>
        <w:t>Senior Vice President, Investor Relations and Corporate Communications awey@xerispharma.com</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2026-06-11T06:18:05Z</dcterms:created>
  <dcterms:modified xsi:type="dcterms:W3CDTF">2026-06-11T06:18:05Z</dcterms:modified>
</cp:coreProperties>
</file>