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35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3567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HALKUFF DAWN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480"/>
        <w:spacing w:after="0" w:line="379" w:lineRule="auto"/>
        <w:rPr>
          <w:sz w:val="20"/>
          <w:szCs w:val="20"/>
          <w:color w:val="auto"/>
        </w:rPr>
      </w:pPr>
      <w:r>
        <w:rPr>
          <w:rFonts w:ascii="Times New Roman" w:cs="Times New Roman" w:eastAsia="Times New Roman" w:hAnsi="Times New Roman"/>
          <w:sz w:val="16"/>
          <w:szCs w:val="16"/>
          <w:color w:val="0000FF"/>
        </w:rPr>
        <w:t>C/O XERIS BIOPHARMA HOLDINGS, INC. 1375 WEST FULTON STREET, SUITE 1300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Xeris Biopharma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XERS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260" w:type="dxa"/>
            <w:vAlign w:val="bottom"/>
          </w:tcPr>
          <w:p>
            <w:pPr>
              <w:spacing w:after="0"/>
              <w:rPr>
                <w:sz w:val="11"/>
                <w:szCs w:val="11"/>
                <w:color w:val="auto"/>
              </w:rPr>
            </w:pPr>
          </w:p>
        </w:tc>
        <w:tc>
          <w:tcPr>
            <w:tcW w:w="158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580" w:type="dxa"/>
            <w:vAlign w:val="bottom"/>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1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71"/>
        </w:trPr>
        <w:tc>
          <w:tcPr>
            <w:tcW w:w="22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2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2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06/04/2026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6.0943</w:t>
            </w:r>
            <w:r>
              <w:rPr>
                <w:rFonts w:ascii="Times New Roman" w:cs="Times New Roman" w:eastAsia="Times New Roman" w:hAnsi="Times New Roman"/>
                <w:sz w:val="21"/>
                <w:szCs w:val="21"/>
                <w:color w:val="008000"/>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95,000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tcBorders>
              <w:bottom w:val="single" w:sz="8" w:color="2C2C2C"/>
            </w:tcBorders>
          </w:tcPr>
          <w:p>
            <w:pPr>
              <w:jc w:val="right"/>
              <w:ind w:right="72"/>
              <w:spacing w:after="0"/>
              <w:rPr>
                <w:sz w:val="20"/>
                <w:szCs w:val="20"/>
                <w:color w:val="auto"/>
              </w:rPr>
            </w:pPr>
            <w:r>
              <w:rPr>
                <w:rFonts w:ascii="Times New Roman" w:cs="Times New Roman" w:eastAsia="Times New Roman" w:hAnsi="Times New Roman"/>
                <w:sz w:val="17"/>
                <w:szCs w:val="17"/>
                <w:color w:val="0000FF"/>
              </w:rPr>
              <w:t>06/04/2026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24,193</w:t>
            </w:r>
            <w:r>
              <w:rPr>
                <w:rFonts w:ascii="Times New Roman" w:cs="Times New Roman" w:eastAsia="Times New Roman" w:hAnsi="Times New Roman"/>
                <w:sz w:val="21"/>
                <w:szCs w:val="21"/>
                <w:color w:val="008000"/>
                <w:vertAlign w:val="superscript"/>
              </w:rPr>
              <w:t>(3)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Borders>
              <w:bottom w:val="single" w:sz="8" w:color="2C2C2C"/>
            </w:tcBorders>
          </w:tcPr>
          <w:p>
            <w:pPr>
              <w:jc w:val="center"/>
              <w:ind w:right="22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119,193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DAWN</w:t>
            </w: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HALKUFF</w:t>
            </w:r>
          </w:p>
        </w:tc>
        <w:tc>
          <w:tcPr>
            <w:tcW w:w="0" w:type="dxa"/>
            <w:vAlign w:val="bottom"/>
          </w:tcPr>
          <w:p>
            <w:pPr>
              <w:spacing w:after="0"/>
              <w:rPr>
                <w:sz w:val="1"/>
                <w:szCs w:val="1"/>
                <w:color w:val="auto"/>
              </w:rPr>
            </w:pPr>
          </w:p>
        </w:tc>
      </w:tr>
      <w:tr>
        <w:trPr>
          <w:trHeight w:val="224"/>
        </w:trPr>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jc w:val="center"/>
              <w:spacing w:after="0" w:line="224" w:lineRule="exact"/>
              <w:rPr>
                <w:sz w:val="20"/>
                <w:szCs w:val="20"/>
                <w:color w:val="auto"/>
              </w:rPr>
            </w:pPr>
            <w:r>
              <w:rPr>
                <w:rFonts w:ascii="Times New Roman" w:cs="Times New Roman" w:eastAsia="Times New Roman" w:hAnsi="Times New Roman"/>
                <w:sz w:val="17"/>
                <w:szCs w:val="17"/>
                <w:color w:val="0000FF"/>
                <w:w w:val="91"/>
              </w:rPr>
              <w:t>5,410</w:t>
            </w:r>
            <w:r>
              <w:rPr>
                <w:rFonts w:ascii="Times New Roman" w:cs="Times New Roman" w:eastAsia="Times New Roman" w:hAnsi="Times New Roman"/>
                <w:sz w:val="21"/>
                <w:szCs w:val="21"/>
                <w:color w:val="008000"/>
                <w:w w:val="91"/>
                <w:vertAlign w:val="superscript"/>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bl>
    <w:p>
      <w:pPr>
        <w:ind w:left="9900"/>
        <w:spacing w:after="0"/>
        <w:rPr>
          <w:sz w:val="20"/>
          <w:szCs w:val="20"/>
          <w:color w:val="auto"/>
        </w:rPr>
      </w:pPr>
      <w:r>
        <w:rPr>
          <w:rFonts w:ascii="Times New Roman" w:cs="Times New Roman" w:eastAsia="Times New Roman" w:hAnsi="Times New Roman"/>
          <w:sz w:val="17"/>
          <w:szCs w:val="17"/>
          <w:color w:val="0000FF"/>
        </w:rPr>
        <w:t>TRUST U/A</w:t>
      </w:r>
    </w:p>
    <w:p>
      <w:pPr>
        <w:spacing w:after="0" w:line="4" w:lineRule="exact"/>
        <w:rPr>
          <w:sz w:val="24"/>
          <w:szCs w:val="24"/>
          <w:color w:val="auto"/>
        </w:rPr>
      </w:pPr>
    </w:p>
    <w:p>
      <w:pPr>
        <w:ind w:left="9900"/>
        <w:spacing w:after="0"/>
        <w:rPr>
          <w:sz w:val="20"/>
          <w:szCs w:val="20"/>
          <w:color w:val="auto"/>
        </w:rPr>
      </w:pPr>
      <w:r>
        <w:rPr>
          <w:rFonts w:ascii="Times New Roman" w:cs="Times New Roman" w:eastAsia="Times New Roman" w:hAnsi="Times New Roman"/>
          <w:sz w:val="17"/>
          <w:szCs w:val="17"/>
          <w:color w:val="0000FF"/>
        </w:rPr>
        <w:t>DTD</w:t>
      </w:r>
    </w:p>
    <w:p>
      <w:pPr>
        <w:spacing w:after="0" w:line="11" w:lineRule="exact"/>
        <w:rPr>
          <w:sz w:val="24"/>
          <w:szCs w:val="24"/>
          <w:color w:val="auto"/>
        </w:rPr>
      </w:pPr>
    </w:p>
    <w:p>
      <w:pPr>
        <w:ind w:left="9900"/>
        <w:spacing w:after="0"/>
        <w:rPr>
          <w:sz w:val="20"/>
          <w:szCs w:val="20"/>
          <w:color w:val="auto"/>
        </w:rPr>
      </w:pPr>
      <w:r>
        <w:rPr>
          <w:rFonts w:ascii="Times New Roman" w:cs="Times New Roman" w:eastAsia="Times New Roman" w:hAnsi="Times New Roman"/>
          <w:sz w:val="17"/>
          <w:szCs w:val="17"/>
          <w:color w:val="0000FF"/>
        </w:rPr>
        <w:t>08/25/2017</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32,996</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32,996</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6.15</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32,996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effected pursuant to a Rule 10b5-1 trading plan adopted by the reporting person on September 4, 2025.</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$5.960 to $6.170,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grant under the Company's 2018 Stock Option and Incentive Plan (the "Plan"). Each restricted stock represents a contingent right to receive one share of the Company's common stock. These shares shall vest in full upon the earlier to occur of June 4, 2026 or the date of the Company's next annual meeting of stockholders, subject to continued service through such vesting date.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7"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acquired pursuant to a grant under the Plan. These stock options shall vest in full upon the earlier to occur of June 4, 2026 or the date of the Company's next annual meeting of stockholders, subject to continued service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Beth Hecht, Attorney-in-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43658" TargetMode="External"/><Relationship Id="rId14" Type="http://schemas.openxmlformats.org/officeDocument/2006/relationships/hyperlink" Target="http://www.sec.gov/cgi-bin/browse-edgar?action=getcompany&amp;CIK=00018670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2026-06-05T17:19:06Z</dcterms:created>
  <dcterms:modified xsi:type="dcterms:W3CDTF">2026-06-05T17:19:06Z</dcterms:modified>
</cp:coreProperties>
</file>