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Hecht Beth</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360"/>
        <w:spacing w:after="0" w:line="365" w:lineRule="auto"/>
        <w:rPr>
          <w:sz w:val="20"/>
          <w:szCs w:val="20"/>
          <w:color w:val="auto"/>
        </w:rPr>
      </w:pPr>
      <w:r>
        <w:rPr>
          <w:rFonts w:ascii="Times New Roman" w:cs="Times New Roman" w:eastAsia="Times New Roman" w:hAnsi="Times New Roman"/>
          <w:sz w:val="17"/>
          <w:szCs w:val="17"/>
          <w:color w:val="0000FF"/>
        </w:rPr>
        <w:t>C/O XERIS BIOPHARMA HOLDINGS, INC. 1375 WEST FULTON STREET, SUITE 1300</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CHICAGO</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IL</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60607</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Xeris Biopharma Holdings,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XERS</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214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140" w:type="dxa"/>
            <w:vAlign w:val="bottom"/>
            <w:gridSpan w:val="2"/>
            <w:vMerge w:val="continue"/>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600" w:type="dxa"/>
            <w:vAlign w:val="bottom"/>
            <w:tcBorders>
              <w:bottom w:val="single" w:sz="8" w:color="0000EE"/>
            </w:tcBorders>
          </w:tcPr>
          <w:p>
            <w:pPr>
              <w:spacing w:after="0"/>
              <w:rPr>
                <w:sz w:val="3"/>
                <w:szCs w:val="3"/>
                <w:color w:val="auto"/>
              </w:rPr>
            </w:pPr>
          </w:p>
        </w:tc>
        <w:tc>
          <w:tcPr>
            <w:tcW w:w="10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94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160" w:type="dxa"/>
            <w:vAlign w:val="bottom"/>
            <w:vMerge w:val="restart"/>
          </w:tcPr>
          <w:p>
            <w:pPr>
              <w:ind w:left="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940" w:type="dxa"/>
            <w:vAlign w:val="bottom"/>
            <w:vMerge w:val="continue"/>
          </w:tcPr>
          <w:p>
            <w:pPr>
              <w:spacing w:after="0"/>
              <w:rPr>
                <w:sz w:val="11"/>
                <w:szCs w:val="11"/>
                <w:color w:val="auto"/>
              </w:rPr>
            </w:pPr>
          </w:p>
        </w:tc>
        <w:tc>
          <w:tcPr>
            <w:tcW w:w="1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4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3"/>
        </w:trPr>
        <w:tc>
          <w:tcPr>
            <w:tcW w:w="8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260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tcPr>
          <w:p>
            <w:pPr>
              <w:spacing w:after="0"/>
              <w:rPr>
                <w:sz w:val="2"/>
                <w:szCs w:val="2"/>
                <w:color w:val="auto"/>
              </w:rPr>
            </w:pPr>
          </w:p>
        </w:tc>
        <w:tc>
          <w:tcPr>
            <w:tcW w:w="200" w:type="dxa"/>
            <w:vAlign w:val="bottom"/>
          </w:tcPr>
          <w:p>
            <w:pPr>
              <w:spacing w:after="0"/>
              <w:rPr>
                <w:sz w:val="2"/>
                <w:szCs w:val="2"/>
                <w:color w:val="auto"/>
              </w:rPr>
            </w:pPr>
          </w:p>
        </w:tc>
        <w:tc>
          <w:tcPr>
            <w:tcW w:w="1940" w:type="dxa"/>
            <w:vAlign w:val="bottom"/>
            <w:vMerge w:val="restart"/>
          </w:tcPr>
          <w:p>
            <w:pPr>
              <w:ind w:left="4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22"/>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0"/>
                <w:szCs w:val="10"/>
                <w:color w:val="auto"/>
              </w:rPr>
            </w:pPr>
          </w:p>
        </w:tc>
        <w:tc>
          <w:tcPr>
            <w:tcW w:w="194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3"/>
        </w:trPr>
        <w:tc>
          <w:tcPr>
            <w:tcW w:w="200" w:type="dxa"/>
            <w:vAlign w:val="bottom"/>
            <w:gridSpan w:val="2"/>
            <w:vMerge w:val="continue"/>
          </w:tcPr>
          <w:p>
            <w:pPr>
              <w:spacing w:after="0"/>
              <w:rPr>
                <w:sz w:val="5"/>
                <w:szCs w:val="5"/>
                <w:color w:val="auto"/>
              </w:rPr>
            </w:pPr>
          </w:p>
        </w:tc>
        <w:tc>
          <w:tcPr>
            <w:tcW w:w="362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1940" w:type="dxa"/>
            <w:vAlign w:val="bottom"/>
            <w:vMerge w:val="restart"/>
          </w:tcPr>
          <w:p>
            <w:pPr>
              <w:ind w:left="1000"/>
              <w:spacing w:after="0"/>
              <w:rPr>
                <w:sz w:val="20"/>
                <w:szCs w:val="20"/>
                <w:color w:val="auto"/>
              </w:rPr>
            </w:pPr>
            <w:r>
              <w:rPr>
                <w:rFonts w:ascii="Times New Roman" w:cs="Times New Roman" w:eastAsia="Times New Roman" w:hAnsi="Times New Roman"/>
                <w:sz w:val="17"/>
                <w:szCs w:val="17"/>
                <w:color w:val="0000FF"/>
              </w:rPr>
              <w:t>See Remarks</w:t>
            </w:r>
          </w:p>
        </w:tc>
        <w:tc>
          <w:tcPr>
            <w:tcW w:w="1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6"/>
        </w:trPr>
        <w:tc>
          <w:tcPr>
            <w:tcW w:w="28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07/01/2026</w:t>
            </w: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40" w:type="dxa"/>
            <w:vAlign w:val="bottom"/>
            <w:vMerge w:val="continue"/>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60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jc w:val="right"/>
              <w:ind w:right="160"/>
              <w:spacing w:after="0"/>
              <w:rPr>
                <w:sz w:val="20"/>
                <w:szCs w:val="20"/>
                <w:color w:val="auto"/>
              </w:rPr>
            </w:pPr>
            <w:r>
              <w:rPr>
                <w:rFonts w:ascii="Times New Roman" w:cs="Times New Roman" w:eastAsia="Times New Roman" w:hAnsi="Times New Roman"/>
                <w:sz w:val="17"/>
                <w:szCs w:val="17"/>
                <w:color w:val="0000FF"/>
              </w:rPr>
              <w:t>07/01/2026</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16,666</w:t>
            </w:r>
          </w:p>
        </w:tc>
        <w:tc>
          <w:tcPr>
            <w:tcW w:w="4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8.0319</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160"/>
              <w:spacing w:after="0"/>
              <w:rPr>
                <w:sz w:val="20"/>
                <w:szCs w:val="20"/>
                <w:color w:val="auto"/>
              </w:rPr>
            </w:pPr>
            <w:r>
              <w:rPr>
                <w:rFonts w:ascii="Times New Roman" w:cs="Times New Roman" w:eastAsia="Times New Roman" w:hAnsi="Times New Roman"/>
                <w:sz w:val="17"/>
                <w:szCs w:val="17"/>
                <w:color w:val="0000FF"/>
              </w:rPr>
              <w:t>1,161,128</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jc w:val="right"/>
              <w:ind w:right="1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jc w:val="right"/>
              <w:ind w:right="14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 was effected pursuant to a Rule 10b5-1 trading plan adopted by the reporting person on August 8, 2025.</w:t>
      </w:r>
    </w:p>
    <w:p>
      <w:pPr>
        <w:spacing w:after="0" w:line="50" w:lineRule="exact"/>
        <w:rPr>
          <w:rFonts w:ascii="Times New Roman" w:cs="Times New Roman" w:eastAsia="Times New Roman" w:hAnsi="Times New Roman"/>
          <w:sz w:val="13"/>
          <w:szCs w:val="13"/>
          <w:color w:val="008000"/>
        </w:rPr>
      </w:pPr>
    </w:p>
    <w:p>
      <w:pPr>
        <w:ind w:left="40" w:right="2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$7.92 to $8.19, inclusive. The reporting person undertakes to provide to the Issuer, any security holder of the Issuer, or the staff of the Securities and Exchange Commission, upon request, full information regarding the number of shares sold at each separate price within the range.</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1,288 shares acquired on June 30, 2026 under the issuer's 2018 Employee Stock Purchase Plan, as amended.</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Chief Legal Officer and Corporate Secretary</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Beth Hecht</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07/02/2026</w:t>
            </w:r>
          </w:p>
        </w:tc>
      </w:tr>
      <w:tr>
        <w:trPr>
          <w:trHeight w:val="20"/>
        </w:trPr>
        <w:tc>
          <w:tcPr>
            <w:tcW w:w="100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52410" TargetMode="External"/><Relationship Id="rId14" Type="http://schemas.openxmlformats.org/officeDocument/2006/relationships/hyperlink" Target="http://www.sec.gov/cgi-bin/browse-edgar?action=getcompany&amp;CIK=000186709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2026-07-02T15:51:14Z</dcterms:created>
  <dcterms:modified xsi:type="dcterms:W3CDTF">2026-07-02T15:51:14Z</dcterms:modified>
</cp:coreProperties>
</file>