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14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1495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37"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BORMANN-KENNEDY BARBARA-</w:t>
        </w:r>
      </w:hyperlink>
      <w:hyperlink r:id="rId13">
        <w:r>
          <w:rPr>
            <w:rFonts w:ascii="Times New Roman" w:cs="Times New Roman" w:eastAsia="Times New Roman" w:hAnsi="Times New Roman"/>
            <w:sz w:val="21"/>
            <w:szCs w:val="21"/>
            <w:u w:val="single" w:color="auto"/>
            <w:color w:val="0000EE"/>
          </w:rPr>
          <w:t>JEAN ANNE</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0"/>
          <w:szCs w:val="20"/>
          <w:color w:val="auto"/>
        </w:rPr>
      </w:pPr>
    </w:p>
    <w:p>
      <w:pPr>
        <w:ind w:left="120" w:right="80"/>
        <w:spacing w:after="0" w:line="379" w:lineRule="auto"/>
        <w:rPr>
          <w:sz w:val="20"/>
          <w:szCs w:val="20"/>
          <w:color w:val="auto"/>
        </w:rPr>
      </w:pPr>
      <w:r>
        <w:rPr>
          <w:rFonts w:ascii="Times New Roman" w:cs="Times New Roman" w:eastAsia="Times New Roman" w:hAnsi="Times New Roman"/>
          <w:sz w:val="16"/>
          <w:szCs w:val="16"/>
          <w:color w:val="0000FF"/>
        </w:rPr>
        <w:t>C/O XERIS BIOPHARMA HOLDINGS, INC. 1375 WEST FULTON STREET, SUITE 1300</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6"/>
          <w:szCs w:val="16"/>
          <w:color w:val="0000FF"/>
        </w:rPr>
        <w:t>60607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5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0"/>
          <w:szCs w:val="20"/>
          <w:color w:val="auto"/>
        </w:rPr>
      </w:pPr>
    </w:p>
    <w:p>
      <w:pPr>
        <w:sectPr>
          <w:pgSz w:w="11900" w:h="16838" w:orient="portrait"/>
          <w:cols w:equalWidth="0" w:num="2">
            <w:col w:w="3360" w:space="480"/>
            <w:col w:w="7240"/>
          </w:cols>
          <w:pgMar w:left="460" w:top="217" w:right="359" w:bottom="1440" w:gutter="0" w:footer="0" w:header="0"/>
          <w:type w:val="continuous"/>
        </w:sectPr>
      </w:pPr>
    </w:p>
    <w:p>
      <w:pPr>
        <w:spacing w:after="0" w:line="64"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06/04/2026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7"/>
                <w:szCs w:val="17"/>
                <w:color w:val="0000FF"/>
              </w:rPr>
              <w:t>16,000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6.0942</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126,500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06/04/2026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24,193</w:t>
            </w:r>
            <w:r>
              <w:rPr>
                <w:rFonts w:ascii="Times New Roman" w:cs="Times New Roman" w:eastAsia="Times New Roman" w:hAnsi="Times New Roman"/>
                <w:sz w:val="21"/>
                <w:szCs w:val="21"/>
                <w:color w:val="008000"/>
                <w:vertAlign w:val="superscript"/>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150,693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32,996</w:t>
            </w:r>
          </w:p>
        </w:tc>
        <w:tc>
          <w:tcPr>
            <w:tcW w:w="300" w:type="dxa"/>
            <w:vAlign w:val="bottom"/>
          </w:tcPr>
          <w:p>
            <w:pPr>
              <w:spacing w:after="0"/>
              <w:rPr>
                <w:sz w:val="16"/>
                <w:szCs w:val="16"/>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06/04/2036</w:t>
            </w: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32,996</w:t>
            </w:r>
          </w:p>
        </w:tc>
        <w:tc>
          <w:tcPr>
            <w:tcW w:w="18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32,996</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 on September 12, 2025.</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$5.970 to $6.170,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grant under the Company's 2018 Stock Option and Incentive Plan (the "Plan"). Each restricted stock represents a contingent right to receive one share of the Company's common stock. These shares shall vest in full upon the earlier to occur of June 4, 2026 or the date of the Company's next annual meeting of stockholders, subject to continued service through such vesting date.</w:t>
      </w:r>
    </w:p>
    <w:p>
      <w:pPr>
        <w:spacing w:after="0" w:line="26"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acquired pursuant to a grant under the Plan. These stock options shall vest in full upon the earlier to occur of June 4, 2026 or the date of the Company's next annual meeting of stockholders, subject to continued service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Beth Hecht, Attorney-in-</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35065"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2026-06-05T17:19:09Z</dcterms:created>
  <dcterms:modified xsi:type="dcterms:W3CDTF">2026-06-05T17:19:09Z</dcterms:modified>
</cp:coreProperties>
</file>