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714" w:type="dxa"/>
        <w:jc w:val="center"/>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 July 15,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XERIS BIOPHARMA HOLDINGS, INC.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674" w:type="dxa"/>
        <w:jc w:val="center"/>
        <w:tblInd w:w="0" w:type="dxa"/>
        <w:tblLayout w:type="fixed"/>
        <w:tblCellMar>
          <w:top w:w="28" w:type="dxa"/>
          <w:left w:w="28" w:type="dxa"/>
          <w:bottom w:w="28" w:type="dxa"/>
          <w:right w:w="28" w:type="dxa"/>
        </w:tblCellMar>
      </w:tblPr>
      <w:tblGrid>
        <w:gridCol w:w="397"/>
        <w:gridCol w:w="348"/>
        <w:gridCol w:w="348"/>
        <w:gridCol w:w="348"/>
        <w:gridCol w:w="348"/>
        <w:gridCol w:w="368"/>
        <w:gridCol w:w="177"/>
        <w:gridCol w:w="177"/>
        <w:gridCol w:w="177"/>
        <w:gridCol w:w="177"/>
        <w:gridCol w:w="177"/>
        <w:gridCol w:w="181"/>
        <w:gridCol w:w="226"/>
        <w:gridCol w:w="226"/>
        <w:gridCol w:w="226"/>
        <w:gridCol w:w="226"/>
        <w:gridCol w:w="226"/>
        <w:gridCol w:w="321"/>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1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001-40880</w:t>
            </w:r>
          </w:p>
        </w:tc>
        <w:tc>
          <w:tcPr>
            <w:tcW w:w="14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87-1082097</w:t>
            </w:r>
          </w:p>
        </w:tc>
      </w:tr>
      <w:tr>
        <w:trPr/>
        <w:tc>
          <w:tcPr>
            <w:tcW w:w="21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w:t>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w:t>
              <w:br/>
              <w:t>File Number)</w:t>
            </w:r>
          </w:p>
        </w:tc>
        <w:tc>
          <w:tcPr>
            <w:tcW w:w="14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1375 West Fulton Street, Suite 1300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Chicago, Illinois 60607</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(844) 445-5704</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420"/>
        <w:gridCol w:w="369"/>
        <w:gridCol w:w="369"/>
        <w:gridCol w:w="369"/>
        <w:gridCol w:w="369"/>
        <w:gridCol w:w="369"/>
        <w:gridCol w:w="369"/>
        <w:gridCol w:w="369"/>
        <w:gridCol w:w="369"/>
        <w:gridCol w:w="369"/>
        <w:gridCol w:w="369"/>
        <w:gridCol w:w="369"/>
        <w:gridCol w:w="402"/>
        <w:gridCol w:w="369"/>
        <w:gridCol w:w="369"/>
        <w:gridCol w:w="369"/>
        <w:gridCol w:w="369"/>
        <w:gridCol w:w="369"/>
        <w:gridCol w:w="369"/>
        <w:gridCol w:w="369"/>
        <w:gridCol w:w="369"/>
        <w:gridCol w:w="369"/>
        <w:gridCol w:w="369"/>
        <w:gridCol w:w="369"/>
        <w:gridCol w:w="369"/>
        <w:gridCol w:w="369"/>
        <w:gridCol w:w="527"/>
      </w:tblGrid>
      <w:tr>
        <w:trPr/>
        <w:tc>
          <w:tcPr>
            <w:tcW w:w="42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90" w:after="283"/>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c>
      </w:tr>
      <w:tr>
        <w:trPr/>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7"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7"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7"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7"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47" w:type="dxa"/>
            <w:gridSpan w:val="24"/>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r>
        <w:trPr/>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4479" w:type="dxa"/>
            <w:gridSpan w:val="12"/>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2247" w:type="dxa"/>
            <w:gridSpan w:val="6"/>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479" w:type="dxa"/>
            <w:gridSpan w:val="9"/>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4479" w:type="dxa"/>
            <w:gridSpan w:val="1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2247"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XERS</w:t>
            </w:r>
          </w:p>
        </w:tc>
        <w:tc>
          <w:tcPr>
            <w:tcW w:w="3479" w:type="dxa"/>
            <w:gridSpan w:val="9"/>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r>
        <w:trPr/>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tc>
      </w:tr>
    </w:tbl>
    <w:p>
      <w:pPr>
        <w:pStyle w:val="TextBody"/>
        <w:bidi w:val="0"/>
        <w:spacing w:before="90" w:after="283"/>
        <w:jc w:val="both"/>
        <w:rPr/>
      </w:pPr>
      <w:r>
        <w:rPr/>
      </w:r>
    </w:p>
    <w:p>
      <w:pPr>
        <w:pStyle w:val="TextBody"/>
        <w:bidi w:val="0"/>
        <w:spacing w:lineRule="auto" w:line="288" w:before="90" w:after="283"/>
        <w:jc w:val="both"/>
        <w:rPr/>
      </w:pPr>
      <w:r>
        <w:rPr>
          <w:rFonts w:ascii="Times New Roman;serif" w:hAnsi="Times New Roman;serif"/>
          <w:b w:val="false"/>
          <w:color w:val="000000"/>
          <w:sz w:val="18"/>
        </w:rPr>
        <w:t xml:space="preserve">Emerging growth company </w:t>
      </w:r>
      <w:r>
        <w:rPr>
          <w:color w:val="000000"/>
        </w:rPr>
        <w:t>☐</w:t>
      </w:r>
    </w:p>
    <w:p>
      <w:pPr>
        <w:pStyle w:val="TextBody"/>
        <w:bidi w:val="0"/>
        <w:spacing w:before="90" w:after="283"/>
        <w:jc w:val="both"/>
        <w:rPr/>
      </w:pPr>
      <w:r>
        <w:rPr/>
      </w:r>
    </w:p>
    <w:p>
      <w:pPr>
        <w:pStyle w:val="TextBody"/>
        <w:bidi w:val="0"/>
        <w:spacing w:lineRule="auto" w:line="288" w:before="9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9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18"/>
        </w:rPr>
        <w:t>Item 3.02</w:t>
      </w:r>
      <w:r>
        <w:rPr>
          <w:color w:val="000000"/>
        </w:rPr>
        <w:t xml:space="preserve"> </w:t>
      </w:r>
      <w:r>
        <w:rPr>
          <w:rFonts w:ascii="Times New Roman;serif" w:hAnsi="Times New Roman;serif"/>
          <w:b/>
          <w:color w:val="000000"/>
          <w:sz w:val="18"/>
        </w:rPr>
        <w:t>Unregistered Sales of Equity Securities.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 information set forth under Item 8.01 below with respect to the Shares (as defined herein) is incorporated into this Item 3.02 by reference, insofar as it relates to the unregistered sales of equity securities.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Item 8.01 Other Events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On July 15, 2026, Xeris Biopharma Holdings, Inc. (the “Company”) completed the privately negotiated exchange transactions previously disclosed in its Current Report on Form 8-K filed on June 11, 2026 (collectively, the “Exchange Transactions”) with certain holders (the “Exchanging Noteholders”) of its 8.00% Convertible Senior Notes due 2028 (the “2028 Notes”). In the Exchange Transactions, the Exchanging Noteholders exchanged approximately $23 million in aggregate principal amount of the 2028 Notes for an aggregate of approximately 5.0 million shares of the Company’s common stock (the “Shares”) and approximately $23 million in cash (together with the Shares, the “Exchange Consideration”). The Company funded the cash portion of the Exchange Consideration with liquidity on-hand. The 2028 Notes exchanged by the Exchanging Noteholders were immediately cancelled at the completion of the Exchange Transactions.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Separately, on July 15, 2026, a holder of $10.5 million in principal amount of the 2028 Notes elected to convert their 2028 Notes into approximately 3.6 million shares of the Company’s common stock (the “Conversion).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Following the completion of the Exchange Transactions and the Conversion, no 2028 Notes remain outstanding.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 Shares issued in the Exchange Transactions have not been registered under the Securities Act of 1933, as amended (the “Securities Act”), and were issued in a private placement in reliance on the exemption from registration provided by Section 4(a)(2) of the Securities Act. The Company relied, in part, upon representations from each Exchanging Noteholder that, among other things, (i) it is an institutional “accredited investor” as defined in Rule 501(a)(1), (2), (3) or (7) of Regulation D under the Securities Act and (ii) it and any account for which it is acting is a “qualified institutional buyer” as defined in Rule 144A under the Securities Act. The Shares issued in the Conversion have not been registered under the Securities Act, and were issued in reliance on the exemption from registration provided by Section 3(a)(9) of the Securities Act.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This Current Report on Form 8-K shall not constitute an offer to sell or a solicitation of an offer to buy shares of common stock or any other securities, and shall not constitute an offer, solicitation or sale in any jurisdiction in which such an offer, solicitation or sale would be unlawful.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918" w:type="dxa"/>
        <w:jc w:val="left"/>
        <w:tblInd w:w="0" w:type="dxa"/>
        <w:tblLayout w:type="fixed"/>
        <w:tblCellMar>
          <w:top w:w="28" w:type="dxa"/>
          <w:left w:w="28" w:type="dxa"/>
          <w:bottom w:w="28" w:type="dxa"/>
          <w:right w:w="28" w:type="dxa"/>
        </w:tblCellMar>
      </w:tblPr>
      <w:tblGrid>
        <w:gridCol w:w="317"/>
        <w:gridCol w:w="278"/>
        <w:gridCol w:w="278"/>
        <w:gridCol w:w="278"/>
        <w:gridCol w:w="278"/>
        <w:gridCol w:w="278"/>
        <w:gridCol w:w="109"/>
        <w:gridCol w:w="109"/>
        <w:gridCol w:w="109"/>
        <w:gridCol w:w="440"/>
        <w:gridCol w:w="440"/>
        <w:gridCol w:w="440"/>
        <w:gridCol w:w="746"/>
        <w:gridCol w:w="746"/>
        <w:gridCol w:w="1072"/>
      </w:tblGrid>
      <w:tr>
        <w:trPr/>
        <w:tc>
          <w:tcPr>
            <w:tcW w:w="3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17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Xeris Biopharma Holdings, Inc.</w:t>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Steven M. Pieper</w:t>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Steven M. Pieper</w:t>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Title: </w:t>
            </w:r>
            <w:r>
              <w:rPr>
                <w:rFonts w:ascii="Times New Roman;serif" w:hAnsi="Times New Roman;serif"/>
                <w:b w:val="false"/>
                <w:i/>
                <w:color w:val="000000"/>
                <w:sz w:val="20"/>
              </w:rPr>
              <w:t>Chief Financial Officer</w:t>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777</Words>
  <Characters>4256</Characters>
  <CharactersWithSpaces>4976</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