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16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6648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PERSKY MARLA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15,500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5.8989</w:t>
            </w:r>
            <w:r>
              <w:rPr>
                <w:rFonts w:ascii="Times New Roman" w:cs="Times New Roman" w:eastAsia="Times New Roman" w:hAnsi="Times New Roman"/>
                <w:sz w:val="21"/>
                <w:szCs w:val="21"/>
                <w:color w:val="008000"/>
                <w:w w:val="93"/>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126,500</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24,193</w:t>
            </w:r>
            <w:r>
              <w:rPr>
                <w:rFonts w:ascii="Times New Roman" w:cs="Times New Roman" w:eastAsia="Times New Roman" w:hAnsi="Times New Roman"/>
                <w:sz w:val="21"/>
                <w:szCs w:val="21"/>
                <w:color w:val="008000"/>
                <w:vertAlign w:val="superscript"/>
              </w:rPr>
              <w:t>(3)</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150,693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Marla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Susan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Persky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1"/>
              </w:rPr>
              <w:t>6,370</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17"/>
                <w:szCs w:val="17"/>
                <w:color w:val="auto"/>
              </w:rPr>
            </w:pPr>
          </w:p>
        </w:tc>
        <w:tc>
          <w:tcPr>
            <w:tcW w:w="620" w:type="dxa"/>
            <w:vAlign w:val="bottom"/>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 u/a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9/23/2000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16"/>
                <w:szCs w:val="16"/>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32,996</w:t>
            </w:r>
          </w:p>
        </w:tc>
        <w:tc>
          <w:tcPr>
            <w:tcW w:w="24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06/04/2036</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right"/>
              <w:ind w:right="13"/>
              <w:spacing w:after="0" w:line="194" w:lineRule="exact"/>
              <w:rPr>
                <w:sz w:val="20"/>
                <w:szCs w:val="20"/>
                <w:color w:val="auto"/>
              </w:rPr>
            </w:pPr>
            <w:r>
              <w:rPr>
                <w:rFonts w:ascii="Times New Roman" w:cs="Times New Roman" w:eastAsia="Times New Roman" w:hAnsi="Times New Roman"/>
                <w:sz w:val="17"/>
                <w:szCs w:val="17"/>
                <w:color w:val="0000FF"/>
              </w:rPr>
              <w:t>32,996</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32,996</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on June 12,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$5.810 to $5.960,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full upon the earlier to occur of June 4, 2026 or the date of the Company's next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full upon the earlier to occur of June 4, 2026 or the date of the Company's next annual meeting of stockholders, subject to continued service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0354"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2026-06-05T17:30:34Z</dcterms:created>
  <dcterms:modified xsi:type="dcterms:W3CDTF">2026-06-05T17:30:34Z</dcterms:modified>
</cp:coreProperties>
</file>